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48"/>
          <w:szCs w:val="48"/>
          <w:rtl w:val="0"/>
        </w:rPr>
        <w:t xml:space="preserve">3v1 bez měsíčních paušálů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Registrační pokladna pro EET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Platební terminál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Tiskárna účtenek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731200" cy="3759200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5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Unikátní zařízení pro EET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Bez měsíčních paušálů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Bez omezení funkcionality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Neomezený počet PLU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Cloudový portál FiskalPRO zdarma*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Možnost akceptace platebních karet, za velmi výhodných podmínek a bez paušálů**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Možnost akceptace elektronických stravenek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Využití platební funkce není podmínkou a nemá vliv na cenu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Možnost připojení periferií (scanner čárových kódů, pokladní šuplík, programovatelná klávesnice)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Prodej v různých sazbách DPH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 verze GPRS je součástí SIM karta s datovým tarifem na rok zdarma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Podle modelu FiskalPRO připojení LAN (ethernet), WiFi nebo GPRS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* Pro jedno zařízení FiskalPRO pod jedním účtem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** Při splnění minimálního obratu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Funkcionalita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Rychlý prodej na daňové skupiny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Prodej přes PLU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Založení PLU přímo na FiskalPRO nebo na cloudovém portále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Platba hotově, kartou, stravenkami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Úhrada v cizí měně (přepočet nastaveným kurzem)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Cloudový portál FiskalPRO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Vzdálená správa FiskalPRO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Statistiky prodeje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Záloha dat a nastavení celého zařízení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FiskalPRO roste s Vašimi potřebami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Když už vám nebude stačit jednoduchá registrační pokladna, máte možnost FiskalPRO používat jako standardní pokladní tiskárnu s platebním terminálem v jednom. Připojení k jakémukoliv pokladnímu systému pomocí nejběžnější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Zařízení se v tom případě chová jako standardní pokladní tiskárna, což zaručuje bezproblémové připojení k většině pokladních systémů. V tomto režimu si FiskalPRO dokáže automaticky převzít částku k úhradě kartou a není nutno ji do platebního terminálu zadávat ručně. Tudíž nedochází k chybám a problémům, které často nastávají při manuálním zadávání (obsluha špatně přepíše sumu z pokladního systému do platebního terminálu a následně chybí/přebývají peníze při finanční uzávěrce).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Unikátní funkce registrace účtenky (EET) v režimu pokladní tiskárny umožňuje upgradovat starší systém na EET.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Aktivace příjímání platebních karet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Službu je možné aktivovat po podepsání a schválení přiložené “Žádosti o poskytování platebních služeb prostřednictvím platebního terminálu”. S vyplněním žádosti o aktivaci se můžete obrátit i na telefonickou podporu na infolince +420 226 202 660.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